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CE31EE" w:rsidP="00CE31EE">
      <w:pPr>
        <w:widowControl/>
        <w:bidi w:val="0"/>
        <w:spacing w:after="240"/>
        <w:ind w:left="57" w:right="57"/>
        <w:jc w:val="center"/>
        <w:rPr>
          <w:rFonts w:ascii="Times New Roman" w:eastAsia="Times New Roman" w:hAnsi="Times New Roman" w:cs="Times New Roman"/>
          <w:b/>
          <w:bCs/>
        </w:rPr>
      </w:pPr>
      <w:r w:rsidRPr="00CE31EE">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CE31EE">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CE31EE" w:rsidRPr="00CE31EE" w:rsidP="00CE31EE">
            <w:pPr>
              <w:widowControl/>
              <w:bidi w:val="0"/>
              <w:spacing w:before="12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 xml:space="preserve">Voting results: </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b/>
                <w:bCs/>
                <w:rtl w:val="0"/>
                <w:lang w:val="en-US"/>
              </w:rPr>
              <w:t xml:space="preserve">on item No. 1 </w:t>
            </w:r>
            <w:r w:rsidRPr="00CE31EE">
              <w:rPr>
                <w:rFonts w:ascii="Times New Roman" w:eastAsia="Times New Roman" w:hAnsi="Times New Roman" w:cs="Times New Roman"/>
                <w:rtl w:val="0"/>
                <w:lang w:val="en-US"/>
              </w:rPr>
              <w:t>of the agenda:</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“In favor” - 11 votes</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“Against” - 0 votes;</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 xml:space="preserve">“Abstained” - 0 votes; </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b/>
                <w:bCs/>
                <w:rtl w:val="0"/>
                <w:lang w:val="en-US"/>
              </w:rPr>
              <w:t xml:space="preserve">on item No. 2 </w:t>
            </w:r>
            <w:r w:rsidRPr="00CE31EE">
              <w:rPr>
                <w:rFonts w:ascii="Times New Roman" w:eastAsia="Times New Roman" w:hAnsi="Times New Roman" w:cs="Times New Roman"/>
                <w:rtl w:val="0"/>
                <w:lang w:val="en-US"/>
              </w:rPr>
              <w:t>of the agenda:</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“In favor” -11 votes;</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“Against” - 0 votes;</w:t>
            </w:r>
          </w:p>
          <w:p w:rsidR="00CE31EE" w:rsidRPr="00CE31EE" w:rsidP="00CE31EE">
            <w:pPr>
              <w:widowControl/>
              <w:bidi w:val="0"/>
              <w:spacing w:after="24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“Abstained” - 0 votes;</w:t>
            </w:r>
          </w:p>
        </w:tc>
      </w:tr>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vAlign w:val="bottom"/>
          </w:tcPr>
          <w:p w:rsidR="00CE31EE" w:rsidRPr="00CE31EE" w:rsidP="00CE31EE">
            <w:pPr>
              <w:widowControl/>
              <w:bidi w:val="0"/>
              <w:ind w:left="57" w:right="57"/>
              <w:jc w:val="center"/>
              <w:rPr>
                <w:rFonts w:ascii="Times New Roman" w:eastAsia="Times New Roman" w:hAnsi="Times New Roman" w:cs="Times New Roman"/>
              </w:rPr>
            </w:pPr>
            <w:r w:rsidRPr="00CE31EE">
              <w:rPr>
                <w:rFonts w:ascii="Times New Roman" w:eastAsia="Times New Roman" w:hAnsi="Times New Roman" w:cs="Times New Roman"/>
                <w:b/>
                <w:bCs/>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 "On consideration of proposals of the Company's shareholders on inclusion of issues in the agenda of the annual General Meeting of the Company's Shareholders and on nomination of candidates to the Company's management and control bodies."</w:t>
            </w:r>
          </w:p>
        </w:tc>
      </w:tr>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2.2.1</w:t>
              <w:tab/>
              <w:t>Content of the resolution adopted by the Issuer’s Board of Directors:</w:t>
            </w:r>
          </w:p>
          <w:p w:rsidR="00CE31EE" w:rsidRPr="00CE31EE" w:rsidP="00CE31EE">
            <w:pPr>
              <w:widowControl/>
              <w:bidi w:val="0"/>
              <w:spacing w:before="240" w:after="240"/>
              <w:ind w:left="57" w:right="57" w:firstLine="652"/>
              <w:jc w:val="both"/>
              <w:rPr>
                <w:rFonts w:ascii="Times New Roman" w:eastAsia="Times New Roman" w:hAnsi="Times New Roman" w:cs="Times New Roman"/>
              </w:rPr>
            </w:pPr>
            <w:r w:rsidRPr="00CE31EE">
              <w:rPr>
                <w:rFonts w:ascii="Times New Roman" w:eastAsia="Times New Roman" w:hAnsi="Times New Roman" w:cs="Times New Roman"/>
                <w:rtl w:val="0"/>
                <w:lang w:val="en-US"/>
              </w:rPr>
              <w:t>1.</w:t>
              <w:tab/>
              <w:t>Include the following candidates in the list of candidates for voting for election to the Company's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 w:type="dxa"/>
                <w:bottom w:w="0" w:type="dxa"/>
                <w:right w:w="10" w:type="dxa"/>
              </w:tblCellMar>
              <w:tblLook w:val="0000"/>
            </w:tblPr>
            <w:tblGrid>
              <w:gridCol w:w="571"/>
              <w:gridCol w:w="2094"/>
              <w:gridCol w:w="2796"/>
              <w:gridCol w:w="2516"/>
              <w:gridCol w:w="1623"/>
            </w:tblGrid>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No.</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 xml:space="preserve">The nominee proposed by the shareholder(s) for inclusion in the voting list for election to the Company's Board of Directors </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 xml:space="preserve">Position, place of work of the candidate proposed by the shareholder(s) for inclusion in the voting list for election to the Company's Board of Directors </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 xml:space="preserve">Full Name / name of the shareholder(s) who proposed the candidature for inclusion in the voting list for election to the Company's Board of Directors </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The number of the Company's voting shares owned by the shareholder(s) (in percent)</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Spirin Denis Aleksandrovich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 xml:space="preserve">Director for Corporate Governance of Representative office of Prosperity Capital Management (RF) LTD </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«Lancrenan Investments Limited»</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3.59</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2</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Filkin Roman Alekseevich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Director, Power Industry and Engineering, Representative office of Prosperity Capital Management (RF) LTD</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«Lancrenan Investments Limited»</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3.59</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3</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Shevchyuk Aleksandr Viktorovich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Executive Director, Professional Investors Association</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«Lancrenan Investments Limited»</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3.59</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4</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Morozov Andrey Vladimirovich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Legal Director, Association of Professional Investors</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«Lancrenan Investments Limited»</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3.59</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5</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Arkhipov Sergey Aleksandrovich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Chief Advisor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Kolyada Andrey Sergeevich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Head of Securities and disclosure of information division of Corporate Governance andShareholder and Investor Relations Department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7</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Meshcheryakov AndreyNikolaevich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Head of Division for the support of design and survey works and permit documentation of Capital Construction Department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8</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 xml:space="preserve"> Ozhereliev Aleksey Aleksandrovich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Head of Division for the organization of activities of the Management Board, Board of Directors and shareholder and investor relations of Corporate Governance andShareholder and Investor Relations Department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9</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Pankstyanov Yuri Nikolayevich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Advisor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10</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Perets Alexey Yurevich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Chief Advisor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11</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Selivanova Ludmila Vasilyevna</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Chief Advisor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12</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Sergeeva Olga Andreevna</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Member of the Management Board, Deputy General Director - Head of the Office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13</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Serov Aleksei Yurievich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Director of the Finance Department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14</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Shaydullin Farit Gabdulfatovich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Head of the Analytical Department of the Situation and Analytical Center of PAO "Rosseti"</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20"/>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15</w:t>
                  </w:r>
                </w:p>
              </w:tc>
              <w:tc>
                <w:tcPr>
                  <w:tcW w:w="109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Ebzeev Boris Borisovich</w:t>
                  </w:r>
                </w:p>
              </w:tc>
              <w:tc>
                <w:tcPr>
                  <w:tcW w:w="145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Director General of PJSC "IDGC of the South"</w:t>
                  </w:r>
                </w:p>
              </w:tc>
              <w:tc>
                <w:tcPr>
                  <w:tcW w:w="1311"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843"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bl>
          <w:p w:rsidR="00CE31EE" w:rsidRPr="00CE31EE" w:rsidP="00CE31EE">
            <w:pPr>
              <w:widowControl/>
              <w:bidi w:val="0"/>
              <w:spacing w:before="240" w:after="240"/>
              <w:ind w:left="57" w:right="57" w:firstLine="652"/>
              <w:jc w:val="both"/>
              <w:rPr>
                <w:rFonts w:ascii="Times New Roman" w:eastAsia="Times New Roman" w:hAnsi="Times New Roman" w:cs="Times New Roman"/>
              </w:rPr>
            </w:pPr>
            <w:bookmarkStart w:id="0" w:name="bookmark0"/>
            <w:r w:rsidRPr="00CE31EE">
              <w:rPr>
                <w:rFonts w:ascii="Times New Roman" w:eastAsia="Times New Roman" w:hAnsi="Times New Roman" w:cs="Times New Roman"/>
                <w:rtl w:val="0"/>
                <w:lang w:val="en-US"/>
              </w:rPr>
              <w:t>2.</w:t>
              <w:tab/>
              <w:t>Include the following candidates in the list of candidates for voting for elections to the Company's Audit Commission:</w:t>
            </w:r>
            <w:bookmarkEnd w:id="0"/>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 w:type="dxa"/>
                <w:bottom w:w="0" w:type="dxa"/>
                <w:right w:w="10" w:type="dxa"/>
              </w:tblCellMar>
              <w:tblLook w:val="0000"/>
            </w:tblPr>
            <w:tblGrid>
              <w:gridCol w:w="572"/>
              <w:gridCol w:w="2125"/>
              <w:gridCol w:w="2554"/>
              <w:gridCol w:w="2410"/>
              <w:gridCol w:w="1939"/>
            </w:tblGrid>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 w:type="dxa"/>
                  <w:bottom w:w="0" w:type="dxa"/>
                  <w:right w:w="10" w:type="dxa"/>
                </w:tblCellMar>
                <w:tblLook w:val="0000"/>
              </w:tblPrEx>
              <w:trPr>
                <w:trHeight w:val="57"/>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No.</w:t>
                  </w:r>
                </w:p>
              </w:tc>
              <w:tc>
                <w:tcPr>
                  <w:tcW w:w="110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The nominee proposed by the shareholder(s) for inclusion in the voting list for election to the Company's Audit Commission</w:t>
                  </w:r>
                </w:p>
              </w:tc>
              <w:tc>
                <w:tcPr>
                  <w:tcW w:w="133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Position, place of work of the candidate proposed by the shareholder(s) for inclusion in the voting list for election to the Company's Audit Commission</w:t>
                  </w:r>
                </w:p>
              </w:tc>
              <w:tc>
                <w:tcPr>
                  <w:tcW w:w="1255"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Full Name / name of the shareholder(s) who proposed the candidature for inclusion in the voting list for election to the Company's Audit Commission</w:t>
                  </w:r>
                </w:p>
              </w:tc>
              <w:tc>
                <w:tcPr>
                  <w:tcW w:w="101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b/>
                      <w:sz w:val="20"/>
                      <w:szCs w:val="20"/>
                    </w:rPr>
                  </w:pPr>
                  <w:r w:rsidRPr="00CE31EE">
                    <w:rPr>
                      <w:rFonts w:ascii="Times New Roman" w:eastAsia="Times New Roman" w:hAnsi="Times New Roman" w:cs="Times New Roman"/>
                      <w:b/>
                      <w:sz w:val="20"/>
                      <w:szCs w:val="20"/>
                      <w:rtl w:val="0"/>
                      <w:lang w:val="en-US"/>
                    </w:rPr>
                    <w:t>The number of the Company's voting shares owned by the shareholder(s) (in percent)</w:t>
                  </w:r>
                </w:p>
              </w:tc>
            </w:tr>
            <w:tr w:rsidTr="00B048BD">
              <w:tblPrEx>
                <w:tblW w:w="5000" w:type="pct"/>
                <w:tblCellMar>
                  <w:top w:w="0" w:type="dxa"/>
                  <w:left w:w="10" w:type="dxa"/>
                  <w:bottom w:w="0" w:type="dxa"/>
                  <w:right w:w="10" w:type="dxa"/>
                </w:tblCellMar>
                <w:tblLook w:val="0000"/>
              </w:tblPrEx>
              <w:trPr>
                <w:trHeight w:val="57"/>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1</w:t>
                  </w:r>
                </w:p>
              </w:tc>
              <w:tc>
                <w:tcPr>
                  <w:tcW w:w="110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Lelekova Marina Alekseyevna</w:t>
                  </w:r>
                </w:p>
              </w:tc>
              <w:tc>
                <w:tcPr>
                  <w:tcW w:w="133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Director of the Control and Audit Department of PAO "Rosseti"</w:t>
                  </w:r>
                </w:p>
              </w:tc>
              <w:tc>
                <w:tcPr>
                  <w:tcW w:w="1255"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101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57"/>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2</w:t>
                  </w:r>
                </w:p>
              </w:tc>
              <w:tc>
                <w:tcPr>
                  <w:tcW w:w="110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 xml:space="preserve"> Kabizskina Elena Aleksandrovna</w:t>
                  </w:r>
                </w:p>
              </w:tc>
              <w:tc>
                <w:tcPr>
                  <w:tcW w:w="133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Deputy Head of the Audit Activity Department of the Control and Audit Department of ПАО «Россети»</w:t>
                  </w:r>
                </w:p>
              </w:tc>
              <w:tc>
                <w:tcPr>
                  <w:tcW w:w="1255"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101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57"/>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3</w:t>
                  </w:r>
                </w:p>
              </w:tc>
              <w:tc>
                <w:tcPr>
                  <w:tcW w:w="110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Erandina Elena Stanislavovna</w:t>
                  </w:r>
                </w:p>
              </w:tc>
              <w:tc>
                <w:tcPr>
                  <w:tcW w:w="133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Chief Expert of the Control and Expert Department of the Control and Audit Department of PAO "Rosseti"</w:t>
                  </w:r>
                </w:p>
              </w:tc>
              <w:tc>
                <w:tcPr>
                  <w:tcW w:w="1255"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101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57"/>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4</w:t>
                  </w:r>
                </w:p>
              </w:tc>
              <w:tc>
                <w:tcPr>
                  <w:tcW w:w="110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 xml:space="preserve">Kirillov Artem Nikolaevich </w:t>
                  </w:r>
                </w:p>
              </w:tc>
              <w:tc>
                <w:tcPr>
                  <w:tcW w:w="133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Deputy Head of the Audit Activity Department of the Control and Auditing Department of PAO "Rosseti"</w:t>
                  </w:r>
                </w:p>
              </w:tc>
              <w:tc>
                <w:tcPr>
                  <w:tcW w:w="1255"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101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r w:rsidTr="00B048BD">
              <w:tblPrEx>
                <w:tblW w:w="5000" w:type="pct"/>
                <w:tblCellMar>
                  <w:top w:w="0" w:type="dxa"/>
                  <w:left w:w="10" w:type="dxa"/>
                  <w:bottom w:w="0" w:type="dxa"/>
                  <w:right w:w="10" w:type="dxa"/>
                </w:tblCellMar>
                <w:tblLook w:val="0000"/>
              </w:tblPrEx>
              <w:trPr>
                <w:trHeight w:val="57"/>
              </w:trPr>
              <w:tc>
                <w:tcPr>
                  <w:tcW w:w="298"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5</w:t>
                  </w:r>
                </w:p>
              </w:tc>
              <w:tc>
                <w:tcPr>
                  <w:tcW w:w="1107"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Kim Svetlana Anatolievna</w:t>
                  </w:r>
                </w:p>
              </w:tc>
              <w:tc>
                <w:tcPr>
                  <w:tcW w:w="133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Head of the Audit Activity Department of the Control and Audit Department of PAO "Rosseti"</w:t>
                  </w:r>
                </w:p>
              </w:tc>
              <w:tc>
                <w:tcPr>
                  <w:tcW w:w="1255"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PAO "Rosseti"</w:t>
                  </w:r>
                </w:p>
              </w:tc>
              <w:tc>
                <w:tcPr>
                  <w:tcW w:w="1010" w:type="pct"/>
                  <w:shd w:val="clear" w:color="auto" w:fill="FFFFFF"/>
                  <w:vAlign w:val="center"/>
                </w:tcPr>
                <w:p w:rsidR="00CE31EE" w:rsidRPr="00CE31EE" w:rsidP="00CE31EE">
                  <w:pPr>
                    <w:widowControl/>
                    <w:bidi w:val="0"/>
                    <w:ind w:left="57" w:right="57"/>
                    <w:jc w:val="center"/>
                    <w:rPr>
                      <w:rFonts w:ascii="Times New Roman" w:eastAsia="Times New Roman" w:hAnsi="Times New Roman" w:cs="Times New Roman"/>
                      <w:sz w:val="20"/>
                      <w:szCs w:val="20"/>
                    </w:rPr>
                  </w:pPr>
                  <w:r w:rsidRPr="00CE31EE">
                    <w:rPr>
                      <w:rFonts w:ascii="Times New Roman" w:eastAsia="Times New Roman" w:hAnsi="Times New Roman" w:cs="Times New Roman"/>
                      <w:sz w:val="20"/>
                      <w:szCs w:val="20"/>
                      <w:rtl w:val="0"/>
                      <w:lang w:val="en-US"/>
                    </w:rPr>
                    <w:t>65.12</w:t>
                  </w:r>
                </w:p>
              </w:tc>
            </w:tr>
          </w:tbl>
          <w:p w:rsidR="00CE31EE" w:rsidRPr="00CE31EE" w:rsidP="00CE31EE">
            <w:pPr>
              <w:widowControl/>
              <w:ind w:left="57" w:right="57"/>
              <w:jc w:val="both"/>
              <w:rPr>
                <w:rFonts w:ascii="Times New Roman" w:eastAsia="Times New Roman" w:hAnsi="Times New Roman" w:cs="Times New Roman"/>
              </w:rPr>
            </w:pPr>
          </w:p>
          <w:p w:rsidR="00CE31EE" w:rsidRPr="00CE31EE" w:rsidP="00CE31EE">
            <w:pPr>
              <w:widowControl/>
              <w:ind w:left="57" w:right="57"/>
              <w:jc w:val="both"/>
              <w:rPr>
                <w:rFonts w:ascii="Times New Roman" w:eastAsia="Times New Roman" w:hAnsi="Times New Roman" w:cs="Times New Roman"/>
              </w:rPr>
            </w:pPr>
          </w:p>
        </w:tc>
      </w:tr>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1670"/>
        </w:trPr>
        <w:tc>
          <w:tcPr>
            <w:tcW w:w="5000" w:type="pct"/>
            <w:gridSpan w:val="4"/>
            <w:shd w:val="clear" w:color="auto" w:fill="FFFFFF"/>
            <w:vAlign w:val="bottom"/>
          </w:tcPr>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b/>
                <w:bCs/>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2: "On determining the date of the meeting of the Board of Directors to consider issues related to the preparation for the annual General Meeting of the Company's Shareholders".</w:t>
            </w:r>
          </w:p>
        </w:tc>
      </w:tr>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1114"/>
        </w:trPr>
        <w:tc>
          <w:tcPr>
            <w:tcW w:w="5000" w:type="pct"/>
            <w:gridSpan w:val="4"/>
            <w:shd w:val="clear" w:color="auto" w:fill="FFFFFF"/>
            <w:vAlign w:val="bottom"/>
          </w:tcPr>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2.2.2</w:t>
              <w:tab/>
              <w:t>Content of the resolution adopted by the Issuer’s Board of Directors:</w:t>
            </w:r>
          </w:p>
          <w:p w:rsidR="00CE31EE" w:rsidRPr="00CE31EE" w:rsidP="00CE31EE">
            <w:pPr>
              <w:widowControl/>
              <w:bidi w:val="0"/>
              <w:spacing w:after="240"/>
              <w:ind w:left="57" w:right="57" w:firstLine="641"/>
              <w:jc w:val="both"/>
              <w:rPr>
                <w:rFonts w:ascii="Times New Roman" w:eastAsia="Times New Roman" w:hAnsi="Times New Roman" w:cs="Times New Roman"/>
              </w:rPr>
            </w:pPr>
            <w:r w:rsidRPr="00CE31EE">
              <w:rPr>
                <w:rFonts w:ascii="Times New Roman" w:eastAsia="Times New Roman" w:hAnsi="Times New Roman" w:cs="Times New Roman"/>
                <w:rtl w:val="0"/>
                <w:lang w:val="en-US"/>
              </w:rPr>
              <w:t xml:space="preserve">Determine the date of the meeting of the Company's Board of Directors held to consider issues related to the preparation for the Annual General Meeting of the Company's Shareholders (including the issues of determining the date, place and time of the annual General Meeting of Shareholders, the beginning of registration of persons participating in the annual General Meeting of the Company's Shareholders, approving the agenda of the annual General Meeting of Shareholders, approving the date of determining (fixing) persons entitled </w:t>
            </w:r>
            <w:bookmarkStart w:id="1" w:name="_GoBack"/>
            <w:bookmarkEnd w:id="1"/>
            <w:r w:rsidRPr="00CE31EE">
              <w:rPr>
                <w:rFonts w:ascii="Times New Roman" w:eastAsia="Times New Roman" w:hAnsi="Times New Roman" w:cs="Times New Roman"/>
                <w:rtl w:val="0"/>
                <w:lang w:val="en-US"/>
              </w:rPr>
              <w:t>to participate in the annual General Meeting of Shareholders, on the approval of the form and text of voting bulletins at the Annual General Meeting of Shareholders, etc.) - no later than May 4, 2018.</w:t>
            </w:r>
          </w:p>
        </w:tc>
      </w:tr>
      <w:tr w:rsidTr="00B048B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CE31EE">
              <w:rPr>
                <w:rFonts w:ascii="Times New Roman" w:eastAsia="Times New Roman" w:hAnsi="Times New Roman" w:cs="Times New Roman"/>
                <w:b/>
                <w:bCs/>
                <w:i/>
                <w:iCs/>
                <w:rtl w:val="0"/>
                <w:lang w:val="en-US"/>
              </w:rPr>
              <w:t>March 06, 2018.</w:t>
            </w:r>
          </w:p>
          <w:p w:rsidR="00CE31EE" w:rsidRPr="00CE31EE" w:rsidP="00CE31EE">
            <w:pPr>
              <w:widowControl/>
              <w:bidi w:val="0"/>
              <w:ind w:left="57" w:right="57"/>
              <w:jc w:val="both"/>
              <w:rPr>
                <w:rFonts w:ascii="Times New Roman" w:eastAsia="Times New Roman" w:hAnsi="Times New Roman" w:cs="Times New Roman"/>
              </w:rPr>
            </w:pPr>
            <w:r w:rsidRPr="00CE31EE">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CE31EE">
              <w:rPr>
                <w:rFonts w:ascii="Times New Roman" w:eastAsia="Times New Roman" w:hAnsi="Times New Roman" w:cs="Times New Roman"/>
                <w:b/>
                <w:bCs/>
                <w:i/>
                <w:iCs/>
                <w:rtl w:val="0"/>
                <w:lang w:val="en-US"/>
              </w:rPr>
              <w:t>March 07, 2018, minutes No. 264/2018.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2652D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07,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283D36">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7150-C6A9-47F7-9E49-8B240212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4</cp:revision>
  <dcterms:created xsi:type="dcterms:W3CDTF">2018-05-24T09:38:00Z</dcterms:created>
  <dcterms:modified xsi:type="dcterms:W3CDTF">2018-05-24T09:49:00Z</dcterms:modified>
</cp:coreProperties>
</file>